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98AF">
      <w:pPr>
        <w:pStyle w:val="6"/>
        <w:spacing w:line="324" w:lineRule="auto"/>
        <w:rPr>
          <w:rFonts w:hint="default" w:eastAsia="宋体" w:cs="宋体"/>
          <w:color w:val="000000"/>
          <w:sz w:val="24"/>
          <w:szCs w:val="24"/>
          <w:lang w:val="en-US" w:eastAsia="zh-CN"/>
        </w:rPr>
      </w:pPr>
      <w:r>
        <w:rPr>
          <w:rFonts w:hint="eastAsia" w:eastAsia="宋体" w:cs="宋体"/>
          <w:color w:val="000000"/>
          <w:sz w:val="24"/>
          <w:szCs w:val="24"/>
          <w:lang w:val="en-US" w:eastAsia="zh-CN"/>
        </w:rPr>
        <w:t>中南大学湘雅第二医院桂林医院等保测评项目采购需求</w:t>
      </w:r>
    </w:p>
    <w:p w14:paraId="707282CD">
      <w:pPr>
        <w:spacing w:line="480" w:lineRule="exact"/>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一、项目概况</w:t>
      </w:r>
    </w:p>
    <w:p w14:paraId="79C9CF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本项目为中南大学湘雅第二医院桂林医院网络安全等级保护测评服务，包含测评、咨询、差距整改和安全培训服务。</w:t>
      </w:r>
    </w:p>
    <w:p w14:paraId="49BCA52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cs="仿宋"/>
          <w:color w:val="auto"/>
          <w:sz w:val="21"/>
          <w:szCs w:val="21"/>
          <w:highlight w:val="none"/>
        </w:rPr>
        <w:t>根据《中华人民共和国网络安全法》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《信息安全等级保护管理办法》</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规定，为了贯彻落实国家网络安全等级保护制度的要求，进一步增强系统安全防护能力，确保系统安全稳定运行。</w:t>
      </w:r>
      <w:r>
        <w:rPr>
          <w:rFonts w:hint="eastAsia" w:ascii="仿宋" w:hAnsi="仿宋" w:eastAsia="仿宋" w:cs="仿宋"/>
          <w:b w:val="0"/>
          <w:bCs w:val="0"/>
          <w:color w:val="auto"/>
          <w:sz w:val="21"/>
          <w:szCs w:val="21"/>
          <w:highlight w:val="none"/>
          <w:u w:val="none"/>
          <w:lang w:eastAsia="zh-CN"/>
        </w:rPr>
        <w:t>中南大学湘雅第二医院桂林医院</w:t>
      </w:r>
      <w:r>
        <w:rPr>
          <w:rFonts w:hint="eastAsia" w:ascii="仿宋" w:hAnsi="仿宋" w:eastAsia="仿宋" w:cs="仿宋"/>
          <w:color w:val="auto"/>
          <w:sz w:val="21"/>
          <w:szCs w:val="21"/>
          <w:highlight w:val="none"/>
        </w:rPr>
        <w:t>计划采购</w:t>
      </w:r>
      <w:r>
        <w:rPr>
          <w:rFonts w:hint="eastAsia" w:ascii="仿宋" w:hAnsi="仿宋" w:eastAsia="仿宋" w:cs="仿宋"/>
          <w:color w:val="auto"/>
          <w:sz w:val="21"/>
          <w:szCs w:val="21"/>
          <w:highlight w:val="none"/>
          <w:lang w:val="en-US" w:eastAsia="zh-CN"/>
        </w:rPr>
        <w:t>针对</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医院HIS等信息系统（三级）”</w:t>
      </w:r>
      <w:r>
        <w:rPr>
          <w:rFonts w:hint="eastAsia" w:ascii="仿宋" w:hAnsi="仿宋" w:eastAsia="仿宋" w:cs="仿宋"/>
          <w:color w:val="auto"/>
          <w:sz w:val="21"/>
          <w:szCs w:val="21"/>
          <w:highlight w:val="none"/>
        </w:rPr>
        <w:t>等级保护</w:t>
      </w:r>
      <w:r>
        <w:rPr>
          <w:rFonts w:hint="eastAsia" w:ascii="仿宋" w:hAnsi="仿宋" w:eastAsia="仿宋" w:cs="仿宋"/>
          <w:color w:val="auto"/>
          <w:sz w:val="21"/>
          <w:szCs w:val="21"/>
          <w:highlight w:val="none"/>
          <w:lang w:val="en-US" w:eastAsia="zh-CN"/>
        </w:rPr>
        <w:t>系</w:t>
      </w:r>
      <w:r>
        <w:rPr>
          <w:rFonts w:hint="eastAsia" w:ascii="仿宋" w:hAnsi="仿宋" w:eastAsia="仿宋" w:cs="仿宋"/>
          <w:color w:val="000000"/>
          <w:sz w:val="21"/>
          <w:szCs w:val="21"/>
          <w:highlight w:val="none"/>
          <w:lang w:val="en-US" w:eastAsia="zh-CN"/>
        </w:rPr>
        <w:t>统</w:t>
      </w:r>
      <w:r>
        <w:rPr>
          <w:rFonts w:hint="eastAsia" w:ascii="仿宋" w:hAnsi="仿宋" w:eastAsia="仿宋" w:cs="仿宋"/>
          <w:color w:val="000000"/>
          <w:sz w:val="21"/>
          <w:szCs w:val="21"/>
          <w:highlight w:val="none"/>
        </w:rPr>
        <w:t>开展安全等级保护</w:t>
      </w:r>
      <w:r>
        <w:rPr>
          <w:rFonts w:hint="eastAsia" w:ascii="仿宋" w:hAnsi="仿宋" w:eastAsia="仿宋" w:cs="仿宋"/>
          <w:color w:val="000000"/>
          <w:sz w:val="21"/>
          <w:szCs w:val="21"/>
          <w:highlight w:val="none"/>
          <w:lang w:val="en-US" w:eastAsia="zh-CN"/>
        </w:rPr>
        <w:t>三级</w:t>
      </w:r>
      <w:r>
        <w:rPr>
          <w:rFonts w:hint="eastAsia" w:ascii="仿宋" w:hAnsi="仿宋" w:eastAsia="仿宋" w:cs="仿宋"/>
          <w:color w:val="000000"/>
          <w:sz w:val="21"/>
          <w:szCs w:val="21"/>
          <w:highlight w:val="none"/>
        </w:rPr>
        <w:t>测评</w:t>
      </w:r>
      <w:r>
        <w:rPr>
          <w:rFonts w:hint="eastAsia" w:ascii="仿宋" w:hAnsi="仿宋" w:eastAsia="仿宋" w:cs="仿宋"/>
          <w:color w:val="000000"/>
          <w:sz w:val="21"/>
          <w:szCs w:val="21"/>
          <w:highlight w:val="none"/>
          <w:lang w:val="en-US" w:eastAsia="zh-CN"/>
        </w:rPr>
        <w:t>及整改服务</w:t>
      </w:r>
      <w:r>
        <w:rPr>
          <w:rFonts w:hint="eastAsia" w:ascii="仿宋" w:hAnsi="仿宋" w:eastAsia="仿宋" w:cs="仿宋"/>
          <w:color w:val="000000"/>
          <w:sz w:val="21"/>
          <w:szCs w:val="21"/>
          <w:highlight w:val="none"/>
        </w:rPr>
        <w:t>，衡量等级保护对象是否达到相应等级的安全保护能力，</w:t>
      </w:r>
      <w:r>
        <w:rPr>
          <w:rFonts w:hint="eastAsia" w:ascii="仿宋" w:hAnsi="仿宋" w:eastAsia="仿宋" w:cs="仿宋"/>
          <w:color w:val="000000"/>
          <w:sz w:val="21"/>
          <w:szCs w:val="21"/>
          <w:highlight w:val="none"/>
          <w:lang w:val="en-US" w:eastAsia="zh-CN"/>
        </w:rPr>
        <w:t>完成相关测评咨询工作和</w:t>
      </w:r>
      <w:r>
        <w:rPr>
          <w:rFonts w:hint="eastAsia" w:ascii="仿宋" w:hAnsi="仿宋" w:eastAsia="仿宋" w:cs="仿宋"/>
          <w:color w:val="000000"/>
          <w:sz w:val="21"/>
          <w:szCs w:val="21"/>
          <w:highlight w:val="none"/>
        </w:rPr>
        <w:t>出具公安机关认可的的网络安全等级保护测评报告。</w:t>
      </w:r>
    </w:p>
    <w:p w14:paraId="7EE4F33C">
      <w:pPr>
        <w:spacing w:line="480" w:lineRule="exact"/>
        <w:rPr>
          <w:rFonts w:hint="default" w:eastAsia="仿宋" w:cs="宋体"/>
          <w:lang w:val="en-US" w:eastAsia="zh-CN"/>
        </w:rPr>
      </w:pPr>
      <w:r>
        <w:rPr>
          <w:rFonts w:hint="eastAsia" w:ascii="仿宋" w:hAnsi="仿宋" w:eastAsia="仿宋"/>
          <w:b/>
          <w:color w:val="000000"/>
          <w:sz w:val="24"/>
          <w:szCs w:val="24"/>
          <w:lang w:val="en-US" w:eastAsia="zh-CN"/>
        </w:rPr>
        <w:t>二</w:t>
      </w:r>
      <w:r>
        <w:rPr>
          <w:rFonts w:ascii="仿宋" w:hAnsi="仿宋" w:eastAsia="仿宋"/>
          <w:b/>
          <w:color w:val="000000"/>
          <w:sz w:val="24"/>
          <w:szCs w:val="24"/>
        </w:rPr>
        <w:t>、</w:t>
      </w:r>
      <w:r>
        <w:rPr>
          <w:rFonts w:hint="eastAsia" w:ascii="仿宋" w:hAnsi="仿宋" w:eastAsia="仿宋"/>
          <w:b/>
          <w:color w:val="000000"/>
          <w:sz w:val="24"/>
          <w:szCs w:val="24"/>
        </w:rPr>
        <w:t>采购</w:t>
      </w:r>
      <w:r>
        <w:rPr>
          <w:rFonts w:ascii="仿宋" w:hAnsi="仿宋" w:eastAsia="仿宋"/>
          <w:b/>
          <w:color w:val="000000"/>
          <w:sz w:val="24"/>
          <w:szCs w:val="24"/>
        </w:rPr>
        <w:t>清单</w:t>
      </w:r>
      <w:r>
        <w:rPr>
          <w:rFonts w:hint="eastAsia" w:ascii="仿宋" w:hAnsi="仿宋" w:eastAsia="仿宋"/>
          <w:b/>
          <w:color w:val="000000"/>
          <w:sz w:val="24"/>
          <w:szCs w:val="24"/>
          <w:lang w:val="en-US" w:eastAsia="zh-CN"/>
        </w:rPr>
        <w:t>及要求</w:t>
      </w:r>
    </w:p>
    <w:tbl>
      <w:tblPr>
        <w:tblStyle w:val="9"/>
        <w:tblW w:w="10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917"/>
        <w:gridCol w:w="4765"/>
        <w:gridCol w:w="933"/>
        <w:gridCol w:w="1133"/>
      </w:tblGrid>
      <w:tr w14:paraId="479F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DD3AFE2">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项次</w:t>
            </w:r>
          </w:p>
        </w:tc>
        <w:tc>
          <w:tcPr>
            <w:tcW w:w="2917" w:type="dxa"/>
          </w:tcPr>
          <w:p w14:paraId="598CFAA0">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信息系统</w:t>
            </w:r>
          </w:p>
        </w:tc>
        <w:tc>
          <w:tcPr>
            <w:tcW w:w="4765" w:type="dxa"/>
          </w:tcPr>
          <w:p w14:paraId="14D28E98">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服务内容</w:t>
            </w:r>
          </w:p>
        </w:tc>
        <w:tc>
          <w:tcPr>
            <w:tcW w:w="933" w:type="dxa"/>
          </w:tcPr>
          <w:p w14:paraId="6DA8313B">
            <w:pPr>
              <w:widowControl/>
              <w:spacing w:line="324" w:lineRule="auto"/>
              <w:jc w:val="center"/>
              <w:rPr>
                <w:rFonts w:hint="eastAsia" w:eastAsia="宋体" w:cs="宋体"/>
                <w:vertAlign w:val="baseline"/>
              </w:rPr>
            </w:pPr>
            <w:r>
              <w:rPr>
                <w:rFonts w:hint="eastAsia" w:eastAsia="宋体" w:cs="宋体"/>
                <w:vertAlign w:val="baseline"/>
                <w:lang w:val="en-US" w:eastAsia="zh-CN"/>
              </w:rPr>
              <w:t>数量</w:t>
            </w:r>
          </w:p>
        </w:tc>
        <w:tc>
          <w:tcPr>
            <w:tcW w:w="1133" w:type="dxa"/>
          </w:tcPr>
          <w:p w14:paraId="66A8B647">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单位</w:t>
            </w:r>
          </w:p>
        </w:tc>
      </w:tr>
      <w:tr w14:paraId="71A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D148133">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1</w:t>
            </w:r>
          </w:p>
        </w:tc>
        <w:tc>
          <w:tcPr>
            <w:tcW w:w="2917" w:type="dxa"/>
            <w:vAlign w:val="center"/>
          </w:tcPr>
          <w:p w14:paraId="33F3AC90">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医院HIS等信息系统（三级）</w:t>
            </w:r>
          </w:p>
        </w:tc>
        <w:tc>
          <w:tcPr>
            <w:tcW w:w="4765" w:type="dxa"/>
            <w:vAlign w:val="center"/>
          </w:tcPr>
          <w:p w14:paraId="1CEC3675">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等级保护测评及等级保护咨询工作、等级保护差距整改服务、信息安全培训和演练等</w:t>
            </w:r>
          </w:p>
        </w:tc>
        <w:tc>
          <w:tcPr>
            <w:tcW w:w="933" w:type="dxa"/>
            <w:vAlign w:val="center"/>
          </w:tcPr>
          <w:p w14:paraId="2AD48F01">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133" w:type="dxa"/>
            <w:vAlign w:val="center"/>
          </w:tcPr>
          <w:p w14:paraId="46C3936B">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个/次</w:t>
            </w:r>
          </w:p>
        </w:tc>
      </w:tr>
      <w:tr w14:paraId="171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2251D68D">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2</w:t>
            </w:r>
          </w:p>
        </w:tc>
        <w:tc>
          <w:tcPr>
            <w:tcW w:w="9748" w:type="dxa"/>
            <w:gridSpan w:val="4"/>
            <w:vAlign w:val="center"/>
          </w:tcPr>
          <w:p w14:paraId="1F79EC66">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服务期限：测评系统数或测评次数达到7次为止，且总年限不低于5年；</w:t>
            </w:r>
          </w:p>
          <w:p w14:paraId="47B5094B">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其他服务：1、提供各类信息系统安全咨询和建议服务，提供技术指导和采取必要的防控措施；</w:t>
            </w:r>
          </w:p>
          <w:p w14:paraId="42FB376A">
            <w:pPr>
              <w:widowControl/>
              <w:spacing w:line="324" w:lineRule="auto"/>
              <w:ind w:firstLine="420" w:firstLineChars="20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2、每年提供2</w:t>
            </w:r>
            <w:r>
              <w:rPr>
                <w:rFonts w:hint="default"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val="en-US" w:eastAsia="zh-CN"/>
              </w:rPr>
              <w:t>次的漏洞扫描服务，提供报告并修复或协助修复高危漏洞；</w:t>
            </w:r>
          </w:p>
          <w:p w14:paraId="068E7FA1">
            <w:pPr>
              <w:widowControl/>
              <w:spacing w:line="324"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3、提供2</w:t>
            </w:r>
            <w:r>
              <w:rPr>
                <w:rFonts w:hint="default"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val="en-US" w:eastAsia="zh-CN"/>
              </w:rPr>
              <w:t>次的基线核查服务，并提供报告；</w:t>
            </w:r>
          </w:p>
          <w:p w14:paraId="72FCA455">
            <w:pPr>
              <w:widowControl/>
              <w:spacing w:line="324"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4、远程响应或现场处理医院紧急安全事件，确保损失最小化；</w:t>
            </w:r>
          </w:p>
          <w:p w14:paraId="3A5177BE">
            <w:pPr>
              <w:widowControl/>
              <w:spacing w:line="324"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5、服务期内每年至少开展1次院级安全培训；</w:t>
            </w:r>
          </w:p>
          <w:p w14:paraId="16498C6C">
            <w:pPr>
              <w:widowControl/>
              <w:spacing w:line="324"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6、服务期内每年至少协助开展1次应急演练；</w:t>
            </w:r>
          </w:p>
          <w:p w14:paraId="2923EB8F">
            <w:pPr>
              <w:widowControl/>
              <w:spacing w:line="324"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bookmarkStart w:id="0" w:name="_GoBack"/>
            <w:bookmarkEnd w:id="0"/>
            <w:r>
              <w:rPr>
                <w:rFonts w:hint="eastAsia" w:ascii="仿宋" w:hAnsi="仿宋" w:eastAsia="仿宋" w:cs="仿宋"/>
                <w:color w:val="000000"/>
                <w:sz w:val="21"/>
                <w:szCs w:val="21"/>
                <w:lang w:val="en-US" w:eastAsia="zh-CN"/>
              </w:rPr>
              <w:t>等等。</w:t>
            </w:r>
          </w:p>
        </w:tc>
      </w:tr>
      <w:tr w14:paraId="467C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0D8567D">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3</w:t>
            </w:r>
          </w:p>
        </w:tc>
        <w:tc>
          <w:tcPr>
            <w:tcW w:w="9748" w:type="dxa"/>
            <w:gridSpan w:val="4"/>
            <w:vAlign w:val="center"/>
          </w:tcPr>
          <w:p w14:paraId="23522AFB">
            <w:pPr>
              <w:widowControl/>
              <w:spacing w:line="360"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依据《网络安全等级保护基本要求》（GB/T 22239-2019）（或最新）对</w:t>
            </w:r>
            <w:r>
              <w:rPr>
                <w:rFonts w:hint="default" w:ascii="仿宋" w:hAnsi="仿宋" w:eastAsia="仿宋" w:cs="仿宋"/>
                <w:color w:val="000000"/>
                <w:sz w:val="21"/>
                <w:szCs w:val="21"/>
                <w:lang w:val="en-US" w:eastAsia="zh-CN"/>
              </w:rPr>
              <w:fldChar w:fldCharType="begin"/>
            </w:r>
            <w:r>
              <w:rPr>
                <w:rFonts w:hint="default" w:ascii="仿宋" w:hAnsi="仿宋" w:eastAsia="仿宋" w:cs="仿宋"/>
                <w:color w:val="000000"/>
                <w:sz w:val="21"/>
                <w:szCs w:val="21"/>
                <w:lang w:val="en-US" w:eastAsia="zh-CN"/>
              </w:rPr>
              <w:instrText xml:space="preserve"> HYPERLINK "http://www.baidu.com/link?url=XbV0qPyBKGy32IEFjUPp5JwjyjZP-tGoXFPWpQ797Oy" \t "https://www.baidu.com/_blank" </w:instrText>
            </w:r>
            <w:r>
              <w:rPr>
                <w:rFonts w:hint="default" w:ascii="仿宋" w:hAnsi="仿宋" w:eastAsia="仿宋" w:cs="仿宋"/>
                <w:color w:val="000000"/>
                <w:sz w:val="21"/>
                <w:szCs w:val="21"/>
                <w:lang w:val="en-US" w:eastAsia="zh-CN"/>
              </w:rPr>
              <w:fldChar w:fldCharType="separate"/>
            </w:r>
            <w:r>
              <w:rPr>
                <w:rFonts w:hint="default" w:ascii="仿宋" w:hAnsi="仿宋" w:eastAsia="仿宋" w:cs="仿宋"/>
                <w:color w:val="000000"/>
                <w:sz w:val="21"/>
                <w:szCs w:val="21"/>
                <w:lang w:val="en-US" w:eastAsia="zh-CN"/>
              </w:rPr>
              <w:t>中南大学湘雅二医院桂林医院</w:t>
            </w:r>
            <w:r>
              <w:rPr>
                <w:rFonts w:hint="default" w:ascii="仿宋" w:hAnsi="仿宋" w:eastAsia="仿宋" w:cs="仿宋"/>
                <w:color w:val="000000"/>
                <w:sz w:val="21"/>
                <w:szCs w:val="21"/>
                <w:lang w:val="en-US" w:eastAsia="zh-CN"/>
              </w:rPr>
              <w:fldChar w:fldCharType="end"/>
            </w:r>
            <w:r>
              <w:rPr>
                <w:rFonts w:hint="eastAsia" w:ascii="仿宋" w:hAnsi="仿宋" w:eastAsia="仿宋" w:cs="仿宋"/>
                <w:color w:val="000000"/>
                <w:sz w:val="21"/>
                <w:szCs w:val="21"/>
                <w:lang w:val="en-US" w:eastAsia="zh-CN"/>
              </w:rPr>
              <w:t>指定的系统（三级，如需备案的，协助备案工作）开展网络安全等级保护测评工作，并出具网络安全等级保护测评报告。</w:t>
            </w:r>
          </w:p>
        </w:tc>
      </w:tr>
    </w:tbl>
    <w:p w14:paraId="33895FB3"/>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76463"/>
    <w:rsid w:val="38DE3775"/>
    <w:rsid w:val="54AE13DC"/>
    <w:rsid w:val="58646D1E"/>
    <w:rsid w:val="66B05F93"/>
    <w:rsid w:val="76BD75B8"/>
    <w:rsid w:val="775C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pPr>
    <w:rPr>
      <w:rFonts w:ascii="宋体" w:hAnsi="宋体"/>
      <w:szCs w:val="20"/>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next w:val="1"/>
    <w:qFormat/>
    <w:uiPriority w:val="0"/>
    <w:rPr>
      <w:rFonts w:hAnsi="Courier New"/>
      <w:szCs w:val="20"/>
    </w:rPr>
  </w:style>
  <w:style w:type="paragraph" w:styleId="5">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6">
    <w:name w:val="Title"/>
    <w:basedOn w:val="1"/>
    <w:qFormat/>
    <w:uiPriority w:val="0"/>
    <w:pPr>
      <w:jc w:val="center"/>
      <w:outlineLvl w:val="0"/>
    </w:pPr>
    <w:rPr>
      <w:rFonts w:cs="Arial"/>
      <w:b/>
      <w:bCs/>
      <w:sz w:val="36"/>
      <w:szCs w:val="32"/>
    </w:rPr>
  </w:style>
  <w:style w:type="paragraph" w:styleId="7">
    <w:name w:val="Body Text First Indent 2"/>
    <w:basedOn w:val="3"/>
    <w:next w:val="1"/>
    <w:qFormat/>
    <w:uiPriority w:val="0"/>
    <w:pPr>
      <w:spacing w:line="360" w:lineRule="auto"/>
      <w:ind w:firstLine="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宋体" w:hAnsi="宋体" w:eastAsia="宋体" w:cs="宋体"/>
      <w:color w:val="000000"/>
      <w:sz w:val="22"/>
      <w:szCs w:val="22"/>
      <w:u w:val="none"/>
    </w:rPr>
  </w:style>
  <w:style w:type="character" w:customStyle="1" w:styleId="12">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364</Characters>
  <Lines>0</Lines>
  <Paragraphs>0</Paragraphs>
  <TotalTime>52</TotalTime>
  <ScaleCrop>false</ScaleCrop>
  <LinksUpToDate>false</LinksUpToDate>
  <CharactersWithSpaces>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2025-09-10T01:18:00Z</dcterms:created>
  <dc:creator>God</dc:creator>
  <cp:lastModifiedBy>杨氏1406506323</cp:lastModifiedBy>
  <dcterms:modified xsi:type="dcterms:W3CDTF">2026-04-23T07:33:07Z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eyJoZGlkIjoiNTAzNTg1ODJjNWQxOTg5ZjFlYTU4YWViODIyZjE4ZjUiLCJ1c2VySWQiOiIxOTE5NjI3MiJ9</vt:lpwstr>
  </property>
  <property fmtid="{D5CDD505-2E9C-101B-9397-08002B2CF9AE}" pid="4" name="ICV">
    <vt:lpwstr>66793CEF3E594CD5861398C1E1B7EFF5_12</vt:lpwstr>
  </property>
</Properties>
</file>